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730" w:rsidRPr="004710F0" w:rsidRDefault="007B6730" w:rsidP="004710F0">
      <w:pPr>
        <w:jc w:val="center"/>
        <w:rPr>
          <w:rFonts w:ascii="Times New Roman" w:hAnsi="Times New Roman"/>
          <w:b/>
          <w:sz w:val="28"/>
          <w:szCs w:val="28"/>
        </w:rPr>
      </w:pPr>
      <w:r w:rsidRPr="00A041FD">
        <w:rPr>
          <w:rFonts w:ascii="Times New Roman" w:hAnsi="Times New Roman"/>
          <w:b/>
          <w:sz w:val="28"/>
          <w:szCs w:val="28"/>
        </w:rPr>
        <w:t>Format per il curriculum vitae accademico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6551"/>
      </w:tblGrid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Cognome e nome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Blascovich Moreno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pStyle w:val="Heading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rPr>
                <w:b w:val="0"/>
                <w:szCs w:val="24"/>
                <w:lang w:val="it-IT"/>
              </w:rPr>
            </w:pPr>
            <w:r w:rsidRPr="00D01A03">
              <w:rPr>
                <w:b w:val="0"/>
                <w:szCs w:val="24"/>
                <w:lang w:val="it-IT"/>
              </w:rPr>
              <w:t>Dati anagrafici personali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it-IT"/>
              </w:rPr>
            </w:pPr>
            <w:r w:rsidRPr="00D01A03">
              <w:rPr>
                <w:rFonts w:ascii="Times New Roman" w:hAnsi="Times New Roman"/>
                <w:sz w:val="24"/>
                <w:szCs w:val="24"/>
                <w:lang w:eastAsia="it-IT"/>
              </w:rPr>
              <w:t>(anno di nascita, residenza, …)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it-IT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Nato a Mestre (VE) il 11/9/1955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Residente in Via F. Baracca n. 10, 30174 Mestre (VE)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 xml:space="preserve">Titoli di studio conseguiti: 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Diploma in: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Liceo scientifico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Anno: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1974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Istituto: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G. Bruno di Mestre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Laurea Triennale in: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Anno: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Università: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Laurea Magistrale in: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Anno: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Università: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Laurea Vecchio Ordinamento in: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Psicologia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Anno: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1980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Università: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Padova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Dottorato in: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Anno: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Università: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Formazione ulteriore in ambito accademico e/o professionale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B6DDE8"/>
          </w:tcPr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Corso di formazione in terapia familiare (1983/87).                Psicoanalisi didattica conclusa.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Formazione in Psicodramma analitico (2000/2004).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shd w:val="clear" w:color="auto" w:fill="B6DDE8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Inglese scolastico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FDE9D9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Anno accademico di avvio di insegnamento presso lo IUSVE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FDE9D9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2014/2015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FDE9D9"/>
          </w:tcPr>
          <w:p w:rsidR="007B6730" w:rsidRPr="00D01A03" w:rsidRDefault="007B6730" w:rsidP="00D01A03">
            <w:pPr>
              <w:pStyle w:val="Heading2"/>
              <w:spacing w:before="0" w:line="240" w:lineRule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 xml:space="preserve">Incarichi avuti e attuali di insegnamento (e relative discipline) presso lo IUSVE </w:t>
            </w:r>
          </w:p>
          <w:p w:rsidR="007B6730" w:rsidRPr="00D01A03" w:rsidRDefault="007B6730" w:rsidP="00D01A03">
            <w:pPr>
              <w:spacing w:after="0" w:line="240" w:lineRule="auto"/>
            </w:pPr>
          </w:p>
        </w:tc>
        <w:tc>
          <w:tcPr>
            <w:tcW w:w="6551" w:type="dxa"/>
            <w:shd w:val="clear" w:color="auto" w:fill="FDE9D9"/>
          </w:tcPr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Psicologia dello sviluppo (triennale PED, eps).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Psicologia dello sviluppo (triennale PED, esei).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Metodologie e tecniche di intervento educativo nella salute mentale (MPE 2, progettazione e gestione degli interventi socio educativi).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Laboratorio  di relazione educativa e dinamiche di gruppo (PED 2, scienze dell’educazione, educatore sociale ed educatore prima infanzia).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Laboratorio di  comunicazione educativa (PED 2, Scienze dell’Educazione, educatore sociale ed educatore prima infanzia).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Psicologia dello sviluppo (triennale, Sen, Scienze dell’educazione, educatore della prima infanzia ed educatore sociale).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6730" w:rsidRPr="00D01A03" w:rsidTr="00D01A03">
        <w:tc>
          <w:tcPr>
            <w:tcW w:w="3227" w:type="dxa"/>
            <w:shd w:val="clear" w:color="auto" w:fill="FDE9D9"/>
          </w:tcPr>
          <w:p w:rsidR="007B6730" w:rsidRPr="00D01A03" w:rsidRDefault="007B6730" w:rsidP="00D01A03">
            <w:pPr>
              <w:pStyle w:val="Heading2"/>
              <w:spacing w:before="0" w:line="240" w:lineRule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Altri incarichi avuti o in essere presso lo IUSVE  (coordinamento, ricerca, …)</w:t>
            </w:r>
          </w:p>
          <w:p w:rsidR="007B6730" w:rsidRPr="00D01A03" w:rsidRDefault="007B6730" w:rsidP="00D01A03">
            <w:pPr>
              <w:spacing w:after="0" w:line="240" w:lineRule="auto"/>
            </w:pPr>
          </w:p>
        </w:tc>
        <w:tc>
          <w:tcPr>
            <w:tcW w:w="6551" w:type="dxa"/>
            <w:shd w:val="clear" w:color="auto" w:fill="FDE9D9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6730" w:rsidRPr="00D01A03" w:rsidTr="00D01A03">
        <w:tc>
          <w:tcPr>
            <w:tcW w:w="3227" w:type="dxa"/>
            <w:shd w:val="clear" w:color="auto" w:fill="FDE9D9"/>
          </w:tcPr>
          <w:p w:rsidR="007B6730" w:rsidRPr="00D01A03" w:rsidRDefault="007B6730" w:rsidP="00D01A03">
            <w:pPr>
              <w:pStyle w:val="Heading2"/>
              <w:spacing w:before="0" w:line="240" w:lineRule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Incarichi di insegnamento (e/o di ricerca) presso altre università e/o istituzioni di ricerca (indicare ultimi 5 anni)</w:t>
            </w:r>
          </w:p>
          <w:p w:rsidR="007B6730" w:rsidRPr="00D01A03" w:rsidRDefault="007B6730" w:rsidP="00D01A03">
            <w:pPr>
              <w:spacing w:after="0" w:line="240" w:lineRule="auto"/>
            </w:pPr>
          </w:p>
        </w:tc>
        <w:tc>
          <w:tcPr>
            <w:tcW w:w="6551" w:type="dxa"/>
            <w:shd w:val="clear" w:color="auto" w:fill="FDE9D9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Titolo insegnamento/ricerca</w:t>
            </w:r>
            <w:bookmarkStart w:id="0" w:name="_GoBack"/>
            <w:bookmarkEnd w:id="0"/>
            <w:r w:rsidRPr="00D01A03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Università: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Tipo di incarico (ordinario, associato, ricercatore, a contratto):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FDE9D9"/>
          </w:tcPr>
          <w:p w:rsidR="007B6730" w:rsidRPr="00D01A03" w:rsidRDefault="007B6730" w:rsidP="00D01A03">
            <w:pPr>
              <w:pStyle w:val="Heading2"/>
              <w:spacing w:before="0" w:line="240" w:lineRule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Abilitazioni nazionali ed internazionali conseguite per l’insegnamento Universitario</w:t>
            </w:r>
          </w:p>
          <w:p w:rsidR="007B6730" w:rsidRPr="00D01A03" w:rsidRDefault="007B6730" w:rsidP="00D01A03">
            <w:pPr>
              <w:spacing w:after="0" w:line="240" w:lineRule="auto"/>
            </w:pPr>
          </w:p>
        </w:tc>
        <w:tc>
          <w:tcPr>
            <w:tcW w:w="6551" w:type="dxa"/>
            <w:shd w:val="clear" w:color="auto" w:fill="FDE9D9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6730" w:rsidRPr="00D01A03" w:rsidTr="00D01A03">
        <w:tc>
          <w:tcPr>
            <w:tcW w:w="3227" w:type="dxa"/>
            <w:shd w:val="clear" w:color="auto" w:fill="D6E3BC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Ruoli e incarichi di tipo non accademico in ambito salesiano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B6730" w:rsidRPr="00D01A03" w:rsidTr="00D01A03">
        <w:tc>
          <w:tcPr>
            <w:tcW w:w="3227" w:type="dxa"/>
            <w:shd w:val="clear" w:color="auto" w:fill="D6E3BC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Altre esperienze significative in campo professionale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/>
          </w:tcPr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Psicoterapeuta e psicoanalista.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Dal 1985 al 1996 psicologo/psicoterapeuta presso l’istituto “Costante Gris” di Mogliano Veneto.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Dal 1995 al 2001 responsabile sede ABA (Associazione Anoressia Bulimia) di Mestre (VE).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Dal 2001 ad oggi responsabile della sede ICAB (Istituto per la clinica dell’anoressia e Bulimia) di Mestre (VE).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Formatore e supervisore di equipe presso asl, fondazioni, comuni e privato sociale.</w:t>
            </w:r>
          </w:p>
        </w:tc>
      </w:tr>
      <w:tr w:rsidR="007B6730" w:rsidRPr="00D01A03" w:rsidTr="00D01A03">
        <w:tc>
          <w:tcPr>
            <w:tcW w:w="3227" w:type="dxa"/>
            <w:shd w:val="clear" w:color="auto" w:fill="D6E3BC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Partecipazione ad associazioni di tipo scientifico o professionale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  <w:shd w:val="clear" w:color="auto" w:fill="D6E3BC"/>
          </w:tcPr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Socio fondatore e docente ICLeS, Istituto per la Clinica dei Legami Sociali, istituto riconosciuto dal MIUR per la formazione di psicoterapeuti.</w:t>
            </w:r>
          </w:p>
          <w:p w:rsidR="007B6730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Membro fondatore del Forum Lacaniano in Italia (FLaI).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Membro dell’IF-EPFCL, Internazionale dei Forum della Scuola di Psicoanalisi del Campo Lacaniano.</w:t>
            </w:r>
          </w:p>
        </w:tc>
      </w:tr>
    </w:tbl>
    <w:p w:rsidR="007B6730" w:rsidRDefault="007B6730"/>
    <w:p w:rsidR="007B6730" w:rsidRPr="00A041FD" w:rsidRDefault="007B6730">
      <w:pPr>
        <w:rPr>
          <w:rFonts w:ascii="Times New Roman" w:hAnsi="Times New Roman"/>
          <w:i/>
        </w:rPr>
      </w:pPr>
      <w:r w:rsidRPr="00A041FD">
        <w:rPr>
          <w:rFonts w:ascii="Times New Roman" w:hAnsi="Times New Roman"/>
          <w:i/>
        </w:rPr>
        <w:t>Allegato: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6551"/>
      </w:tblGrid>
      <w:tr w:rsidR="007B6730" w:rsidRPr="00D01A03" w:rsidTr="00D01A03">
        <w:tc>
          <w:tcPr>
            <w:tcW w:w="3227" w:type="dxa"/>
          </w:tcPr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01A03">
              <w:rPr>
                <w:rFonts w:ascii="Times New Roman" w:hAnsi="Times New Roman"/>
                <w:sz w:val="24"/>
                <w:szCs w:val="24"/>
              </w:rPr>
              <w:t>Elenco delle principali pubblicazioni</w:t>
            </w: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“Il lavoro dei clubs degli alcolisti in trattamento a Treviso e nel  Veneto “ AA.VV , Edito Zoppelli, 1988.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“Ripensare la psicosi” AA.VV. 1993, cooperativa editoriale “ Il Campo”, “Psicosi, cronicità, istituzione.”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 xml:space="preserve">A cura di Moreno Blascovich e Marina Zorzi,  per </w:t>
            </w:r>
            <w:smartTag w:uri="urn:schemas-microsoft-com:office:smarttags" w:element="PersonName">
              <w:smartTagPr>
                <w:attr w:name="ProductID" w:val="la “Editre"/>
              </w:smartTagPr>
              <w:r w:rsidRPr="003B53F8">
                <w:rPr>
                  <w:sz w:val="24"/>
                </w:rPr>
                <w:t>la “Editre</w:t>
              </w:r>
            </w:smartTag>
            <w:r w:rsidRPr="003B53F8">
              <w:rPr>
                <w:sz w:val="24"/>
              </w:rPr>
              <w:t xml:space="preserve"> edizioni”, “Handicap, istituzione, territorio”, 1989.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A cura di Moreno Blascovich, per le edizioni ANFFAS, “ Maturità e senescenza del disabile psichico” 1990.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“Immagini e sguardi nell’esperienza psicoanalitica” AA.VV. , “Immagini e sguardi nell’esperienza psicoanalitica: un caso di psicosi”, Astrolabio.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“ABA news” , n.19, “Abuso e normalità”.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“La cura nei gruppi ABA: elementi di teoria e di clinica” AA.VV. , “Dal corpo immacolato al corpo devastato”, edito da Franco Angeli, 1997.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“I gruppi ABA: interruzioni e conclusioni della cura.” AA.VV. , “Cosa fa si che un lavoro gruppale includa la psicoanalisi”, edito da  Franco Angeli, 1998.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 Trauma, abuso e perversione” AA.VV. , “Difficoltà incontrate nella relazione terapeutica con ragazze abusate”, edito da Franco Angeli, 2000.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“L’Ippogrifo “ AA.VV , “ Creatività e arte, ruolo e funzione della psicoanalisi nell’istituzione” Libreria al Segno Editrice, 2002.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 xml:space="preserve">In “ </w:t>
            </w:r>
            <w:smartTag w:uri="urn:schemas-microsoft-com:office:smarttags" w:element="PersonName">
              <w:smartTagPr>
                <w:attr w:name="ProductID" w:val="Notes Magico"/>
              </w:smartTagPr>
              <w:r w:rsidRPr="003B53F8">
                <w:rPr>
                  <w:sz w:val="24"/>
                </w:rPr>
                <w:t>Notes Magico</w:t>
              </w:r>
            </w:smartTag>
            <w:r w:rsidRPr="003B53F8">
              <w:rPr>
                <w:sz w:val="24"/>
              </w:rPr>
              <w:t xml:space="preserve">” rivista di psicoanalisi , 2003/3 , AA.VV , “ L’equipe e i suoi percorsi” , Editrice Clinamen 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 Asclepio e il centauro” “ Il compito della psicoanalisi nell’epoca delle psicoterapie”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 xml:space="preserve">a cura di </w:t>
            </w:r>
            <w:smartTag w:uri="urn:schemas-microsoft-com:office:smarttags" w:element="PersonName">
              <w:smartTagPr>
                <w:attr w:name="ProductID" w:val="Ettore Perrella"/>
              </w:smartTagPr>
              <w:r w:rsidRPr="003B53F8">
                <w:rPr>
                  <w:sz w:val="24"/>
                </w:rPr>
                <w:t>Ettore Perrella</w:t>
              </w:r>
            </w:smartTag>
            <w:r w:rsidRPr="003B53F8">
              <w:rPr>
                <w:sz w:val="24"/>
              </w:rPr>
              <w:t>” ; “La psicoanalisi e il dispositivo gruppale nella cura delle anoressie e della psicosi”; Franco Angeli editore, 2005.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“Socchiudere il gruppo”, a cura di Bruno Vezzani,” Per una clinica dell’anoressia e bulimia. Dal sintomo come risposta alla domanda possibile”,Franco Angeli editore, 2005.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 xml:space="preserve">In “ </w:t>
            </w:r>
            <w:smartTag w:uri="urn:schemas-microsoft-com:office:smarttags" w:element="PersonName">
              <w:smartTagPr>
                <w:attr w:name="ProductID" w:val="Notes Magico"/>
              </w:smartTagPr>
              <w:r w:rsidRPr="003B53F8">
                <w:rPr>
                  <w:sz w:val="24"/>
                </w:rPr>
                <w:t>Notes Magico</w:t>
              </w:r>
            </w:smartTag>
            <w:r w:rsidRPr="003B53F8">
              <w:rPr>
                <w:sz w:val="24"/>
              </w:rPr>
              <w:t>” rivista di psicoanalisi, 2005/5, AAVV, “ La psicoanalisi e il dispositivo gruppale nella cura delle anoressie e della psicosi”, Editrice Clinamen.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>In “</w:t>
            </w:r>
            <w:smartTag w:uri="urn:schemas-microsoft-com:office:smarttags" w:element="PersonName">
              <w:smartTagPr>
                <w:attr w:name="ProductID" w:val="Notes Magico"/>
              </w:smartTagPr>
              <w:r w:rsidRPr="003B53F8">
                <w:rPr>
                  <w:sz w:val="24"/>
                </w:rPr>
                <w:t>Notes Magico</w:t>
              </w:r>
            </w:smartTag>
            <w:r w:rsidRPr="003B53F8">
              <w:rPr>
                <w:sz w:val="24"/>
              </w:rPr>
              <w:t>”,rivista di psicoanalisi, 2006/6, AAVV, “Il perturbante tra gioco e realtà nel dispositivo dello psicodramma analitico”, Editrice Clinamen.</w:t>
            </w:r>
          </w:p>
          <w:p w:rsidR="007B6730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 xml:space="preserve">In “ L’Ippogrifo”,AAVV, “La seduzione di un voce sovversiva e stonata”,scritto con </w:t>
            </w:r>
            <w:smartTag w:uri="urn:schemas-microsoft-com:office:smarttags" w:element="PersonName">
              <w:smartTagPr>
                <w:attr w:name="ProductID" w:val="Patrizia Gilli"/>
              </w:smartTagPr>
              <w:r w:rsidRPr="003B53F8">
                <w:rPr>
                  <w:sz w:val="24"/>
                </w:rPr>
                <w:t>Patrizia Gilli</w:t>
              </w:r>
            </w:smartTag>
            <w:r w:rsidRPr="003B53F8">
              <w:rPr>
                <w:sz w:val="24"/>
              </w:rPr>
              <w:t>, Editrice Libreria al Seg</w:t>
            </w:r>
            <w:r>
              <w:rPr>
                <w:sz w:val="24"/>
              </w:rPr>
              <w:t>no, Pordenone</w:t>
            </w:r>
          </w:p>
          <w:p w:rsidR="007B6730" w:rsidRDefault="007B6730" w:rsidP="000E4110">
            <w:pPr>
              <w:jc w:val="both"/>
              <w:rPr>
                <w:sz w:val="24"/>
              </w:rPr>
            </w:pPr>
            <w:r>
              <w:rPr>
                <w:sz w:val="24"/>
              </w:rPr>
              <w:t>“Le cure nell’attualità e l’attualità della psicoanalisi”, a cura di Patrizia  Gilli e Moreno Blascovich</w:t>
            </w:r>
          </w:p>
          <w:p w:rsidR="007B6730" w:rsidRDefault="007B6730" w:rsidP="000E4110">
            <w:pPr>
              <w:jc w:val="both"/>
              <w:rPr>
                <w:sz w:val="24"/>
              </w:rPr>
            </w:pPr>
            <w:r>
              <w:rPr>
                <w:sz w:val="24"/>
              </w:rPr>
              <w:t>Editrice Libreria al Segno, 2013.</w:t>
            </w:r>
          </w:p>
          <w:p w:rsidR="007B6730" w:rsidRDefault="007B6730" w:rsidP="000E4110">
            <w:pPr>
              <w:jc w:val="both"/>
              <w:rPr>
                <w:sz w:val="24"/>
              </w:rPr>
            </w:pPr>
            <w:r>
              <w:rPr>
                <w:sz w:val="24"/>
              </w:rPr>
              <w:t>“Lo psicodramma analitico, strumento di cura e di formazione”, a cura di Moreno Blascovich, Annalisa Bucciol e Kety Ceolin. Editrice Libreria al Segno, 2014</w:t>
            </w:r>
          </w:p>
          <w:p w:rsidR="007B6730" w:rsidRDefault="007B6730" w:rsidP="000E4110">
            <w:pPr>
              <w:jc w:val="both"/>
              <w:rPr>
                <w:sz w:val="24"/>
              </w:rPr>
            </w:pPr>
            <w:r>
              <w:rPr>
                <w:sz w:val="24"/>
              </w:rPr>
              <w:t>“Desiderio di ignoranza” in “Accostarsi a Terapia del Desiderio di Martha C. Nussbaum” a cura di Vincenzo Salerno, Libreriauniversitaria.it edizioni, Limena Padova, 2018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>
              <w:rPr>
                <w:sz w:val="24"/>
              </w:rPr>
              <w:t>“Affetti ed educazine” in “L’università come comunità di apprendimento” a cura di Beatrice Saltarelli,, Libreriauniversitaria.it edizioni,Limena, Padova, 2019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  <w:r w:rsidRPr="003B53F8">
              <w:rPr>
                <w:sz w:val="24"/>
              </w:rPr>
              <w:t xml:space="preserve"> </w:t>
            </w: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3B53F8" w:rsidRDefault="007B6730" w:rsidP="000E4110">
            <w:pPr>
              <w:jc w:val="both"/>
              <w:rPr>
                <w:sz w:val="24"/>
              </w:rPr>
            </w:pPr>
          </w:p>
          <w:p w:rsidR="007B6730" w:rsidRPr="00D01A03" w:rsidRDefault="007B6730" w:rsidP="00D01A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B6730" w:rsidRPr="008C7A8B" w:rsidRDefault="007B6730">
      <w:pPr>
        <w:rPr>
          <w:rFonts w:ascii="Times New Roman" w:hAnsi="Times New Roman"/>
          <w:sz w:val="24"/>
          <w:szCs w:val="24"/>
        </w:rPr>
      </w:pPr>
    </w:p>
    <w:p w:rsidR="007B6730" w:rsidRDefault="007B6730"/>
    <w:sectPr w:rsidR="007B6730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7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C7A8B"/>
    <w:rsid w:val="00013EE2"/>
    <w:rsid w:val="00056B3D"/>
    <w:rsid w:val="000E4110"/>
    <w:rsid w:val="000F2A19"/>
    <w:rsid w:val="0016010B"/>
    <w:rsid w:val="001616F6"/>
    <w:rsid w:val="001D6052"/>
    <w:rsid w:val="002A1065"/>
    <w:rsid w:val="002F0979"/>
    <w:rsid w:val="00323BE1"/>
    <w:rsid w:val="00325163"/>
    <w:rsid w:val="003B53F8"/>
    <w:rsid w:val="004710F0"/>
    <w:rsid w:val="004E6ED8"/>
    <w:rsid w:val="00550FB0"/>
    <w:rsid w:val="005652CC"/>
    <w:rsid w:val="005A044C"/>
    <w:rsid w:val="005A583F"/>
    <w:rsid w:val="0070650D"/>
    <w:rsid w:val="007B6730"/>
    <w:rsid w:val="008A0570"/>
    <w:rsid w:val="008C7A8B"/>
    <w:rsid w:val="009C7A0C"/>
    <w:rsid w:val="009F3AE8"/>
    <w:rsid w:val="00A041FD"/>
    <w:rsid w:val="00A11444"/>
    <w:rsid w:val="00A1475E"/>
    <w:rsid w:val="00A42F56"/>
    <w:rsid w:val="00AC172C"/>
    <w:rsid w:val="00AD0583"/>
    <w:rsid w:val="00AF7440"/>
    <w:rsid w:val="00B07EFE"/>
    <w:rsid w:val="00B76F0C"/>
    <w:rsid w:val="00BD1681"/>
    <w:rsid w:val="00C3626A"/>
    <w:rsid w:val="00CE0FCC"/>
    <w:rsid w:val="00D01A03"/>
    <w:rsid w:val="00D10F73"/>
    <w:rsid w:val="00D20363"/>
    <w:rsid w:val="00ED00BB"/>
    <w:rsid w:val="00F737E9"/>
    <w:rsid w:val="00FA6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583F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fr-FR" w:eastAsia="it-IT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C7A8B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8C7A8B"/>
    <w:pPr>
      <w:keepNext/>
      <w:keepLines/>
      <w:spacing w:before="200" w:after="0"/>
      <w:outlineLvl w:val="4"/>
    </w:pPr>
    <w:rPr>
      <w:rFonts w:ascii="Cambria" w:eastAsia="Times New Roman" w:hAnsi="Cambria"/>
      <w:color w:val="243F6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C7A8B"/>
    <w:rPr>
      <w:rFonts w:ascii="Times New Roman" w:hAnsi="Times New Roman" w:cs="Times New Roman"/>
      <w:b/>
      <w:sz w:val="20"/>
      <w:szCs w:val="20"/>
      <w:lang w:val="fr-FR" w:eastAsia="it-IT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C7A8B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8C7A8B"/>
    <w:rPr>
      <w:rFonts w:ascii="Cambria" w:hAnsi="Cambria" w:cs="Times New Roman"/>
      <w:color w:val="243F60"/>
    </w:rPr>
  </w:style>
  <w:style w:type="table" w:styleId="TableGrid">
    <w:name w:val="Table Grid"/>
    <w:basedOn w:val="TableNormal"/>
    <w:uiPriority w:val="99"/>
    <w:rsid w:val="008C7A8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58</TotalTime>
  <Pages>4</Pages>
  <Words>863</Words>
  <Characters>4925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 per il curriculum vitae accademico</dc:title>
  <dc:subject/>
  <dc:creator>Arduino Salatin</dc:creator>
  <cp:keywords/>
  <dc:description/>
  <cp:lastModifiedBy>Moreno</cp:lastModifiedBy>
  <cp:revision>11</cp:revision>
  <dcterms:created xsi:type="dcterms:W3CDTF">2020-10-01T08:39:00Z</dcterms:created>
  <dcterms:modified xsi:type="dcterms:W3CDTF">2020-10-02T14:05:00Z</dcterms:modified>
</cp:coreProperties>
</file>