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730" w:rsidRPr="004710F0" w:rsidRDefault="007B6730" w:rsidP="004710F0">
      <w:pPr>
        <w:jc w:val="center"/>
        <w:rPr>
          <w:rFonts w:ascii="Times New Roman" w:hAnsi="Times New Roman"/>
          <w:b/>
          <w:sz w:val="28"/>
          <w:szCs w:val="28"/>
        </w:rPr>
      </w:pPr>
      <w:r w:rsidRPr="00A041FD">
        <w:rPr>
          <w:rFonts w:ascii="Times New Roman" w:hAnsi="Times New Roman"/>
          <w:b/>
          <w:sz w:val="28"/>
          <w:szCs w:val="28"/>
        </w:rPr>
        <w:t>Format per il curriculum vitae accademico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6551"/>
      </w:tblGrid>
      <w:tr w:rsidR="007B6730" w:rsidRPr="00D01A03" w:rsidTr="00D01A03">
        <w:tc>
          <w:tcPr>
            <w:tcW w:w="3227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Cognome e nome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Blascovich Moreno</w:t>
            </w:r>
          </w:p>
        </w:tc>
      </w:tr>
      <w:tr w:rsidR="007B6730" w:rsidRPr="00D01A03" w:rsidTr="00D01A03">
        <w:tc>
          <w:tcPr>
            <w:tcW w:w="3227" w:type="dxa"/>
            <w:shd w:val="clear" w:color="auto" w:fill="B6DDE8"/>
          </w:tcPr>
          <w:p w:rsidR="007B6730" w:rsidRPr="00D01A03" w:rsidRDefault="007B6730" w:rsidP="00D01A03">
            <w:pPr>
              <w:pStyle w:val="Heading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b w:val="0"/>
                <w:szCs w:val="24"/>
                <w:lang w:val="it-IT"/>
              </w:rPr>
            </w:pPr>
            <w:r w:rsidRPr="00D01A03">
              <w:rPr>
                <w:b w:val="0"/>
                <w:szCs w:val="24"/>
                <w:lang w:val="it-IT"/>
              </w:rPr>
              <w:t>Dati anagrafici personali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D01A03">
              <w:rPr>
                <w:rFonts w:ascii="Times New Roman" w:hAnsi="Times New Roman"/>
                <w:sz w:val="24"/>
                <w:szCs w:val="24"/>
                <w:lang w:eastAsia="it-IT"/>
              </w:rPr>
              <w:t>(anno di nascita, residenza, …)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6551" w:type="dxa"/>
            <w:shd w:val="clear" w:color="auto" w:fill="B6DDE8"/>
          </w:tcPr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Nato a Mestre (VE) il 11/9/1955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Residente in Via F. Baracca n. 10, 30174 Mestre (VE)</w:t>
            </w:r>
          </w:p>
        </w:tc>
      </w:tr>
      <w:tr w:rsidR="007B6730" w:rsidRPr="00D01A03" w:rsidTr="00D01A03">
        <w:tc>
          <w:tcPr>
            <w:tcW w:w="3227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 xml:space="preserve">Titoli di studio conseguiti: 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51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Diploma in: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Liceo scientifico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Anno: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1974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Istituto: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G. Bruno di Mestre</w:t>
            </w:r>
          </w:p>
        </w:tc>
      </w:tr>
      <w:tr w:rsidR="007B6730" w:rsidRPr="00D01A03" w:rsidTr="00D01A03">
        <w:tc>
          <w:tcPr>
            <w:tcW w:w="3227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Laurea Triennale in: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Anno: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Università:</w:t>
            </w:r>
          </w:p>
        </w:tc>
      </w:tr>
      <w:tr w:rsidR="007B6730" w:rsidRPr="00D01A03" w:rsidTr="00D01A03">
        <w:tc>
          <w:tcPr>
            <w:tcW w:w="3227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Laurea Magistrale in: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Anno: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Università:</w:t>
            </w:r>
          </w:p>
        </w:tc>
      </w:tr>
      <w:tr w:rsidR="007B6730" w:rsidRPr="00D01A03" w:rsidTr="00D01A03">
        <w:tc>
          <w:tcPr>
            <w:tcW w:w="3227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Laurea Vecchio Ordinamento in: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Psicologia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Anno: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1980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Università: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Padova</w:t>
            </w:r>
          </w:p>
        </w:tc>
      </w:tr>
      <w:tr w:rsidR="007B6730" w:rsidRPr="00D01A03" w:rsidTr="00D01A03">
        <w:tc>
          <w:tcPr>
            <w:tcW w:w="3227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Dottorato in: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Anno: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Università:</w:t>
            </w:r>
          </w:p>
        </w:tc>
      </w:tr>
      <w:tr w:rsidR="007B6730" w:rsidRPr="00D01A03" w:rsidTr="00D01A03">
        <w:tc>
          <w:tcPr>
            <w:tcW w:w="3227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Formazione ulteriore in ambito accademico e/o professionale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/>
          </w:tcPr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Corso di formazione in terapia familiare (1983/87).                Psicoanalisi didattica conclusa.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Formazione in Psicodramma analitico (2000/2004).</w:t>
            </w:r>
          </w:p>
        </w:tc>
      </w:tr>
      <w:tr w:rsidR="007B6730" w:rsidRPr="00D01A03" w:rsidTr="00D01A03">
        <w:tc>
          <w:tcPr>
            <w:tcW w:w="3227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Lingue conosciute e loro livello di padronanza (con le eventuali certificazioni)</w:t>
            </w:r>
          </w:p>
        </w:tc>
        <w:tc>
          <w:tcPr>
            <w:tcW w:w="6551" w:type="dxa"/>
            <w:shd w:val="clear" w:color="auto" w:fill="B6DDE8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Inglese scolastico</w:t>
            </w:r>
          </w:p>
        </w:tc>
      </w:tr>
      <w:tr w:rsidR="007B6730" w:rsidRPr="00D01A03" w:rsidTr="00D01A03">
        <w:tc>
          <w:tcPr>
            <w:tcW w:w="3227" w:type="dxa"/>
            <w:shd w:val="clear" w:color="auto" w:fill="FDE9D9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Anno accademico di avvio di insegnamento presso lo IUSVE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FDE9D9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</w:tr>
      <w:tr w:rsidR="007B6730" w:rsidRPr="00D01A03" w:rsidTr="00D01A03">
        <w:tc>
          <w:tcPr>
            <w:tcW w:w="3227" w:type="dxa"/>
            <w:shd w:val="clear" w:color="auto" w:fill="FDE9D9"/>
          </w:tcPr>
          <w:p w:rsidR="007B6730" w:rsidRPr="00D01A03" w:rsidRDefault="007B6730" w:rsidP="00D01A03">
            <w:pPr>
              <w:pStyle w:val="Heading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Incarichi avuti e attuali di insegnamento (e relative discipline) presso lo IUSVE </w:t>
            </w:r>
          </w:p>
          <w:p w:rsidR="007B6730" w:rsidRPr="00D01A03" w:rsidRDefault="007B6730" w:rsidP="00D01A03">
            <w:pPr>
              <w:spacing w:after="0" w:line="240" w:lineRule="auto"/>
            </w:pPr>
          </w:p>
        </w:tc>
        <w:tc>
          <w:tcPr>
            <w:tcW w:w="6551" w:type="dxa"/>
            <w:shd w:val="clear" w:color="auto" w:fill="FDE9D9"/>
          </w:tcPr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Psicologia dello sviluppo (triennale PED, eps).</w:t>
            </w:r>
          </w:p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Psicologia dello sviluppo (triennale PED, esei).</w:t>
            </w:r>
          </w:p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Metodologie e tecniche di intervento educativo nella salute mentale (MPE 2, progettazione e gestione degli interventi socio educativi).</w:t>
            </w:r>
          </w:p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Laboratorio  di relazione educativa e dinamiche di gruppo (PED 2, scienze dell’educazione, educatore sociale ed educatore prima infanzia).</w:t>
            </w:r>
          </w:p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Laboratorio di  comunicazione educativa (PED 2, Scienze dell’Educazione, educatore sociale ed educatore prima infanzia).</w:t>
            </w:r>
          </w:p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Psicologia dello sviluppo (triennale, Sen, Scienze dell’educazione, educatore della prima infanzia ed educatore sociale).</w:t>
            </w:r>
          </w:p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730" w:rsidRPr="00D01A03" w:rsidTr="00D01A03">
        <w:tc>
          <w:tcPr>
            <w:tcW w:w="3227" w:type="dxa"/>
            <w:shd w:val="clear" w:color="auto" w:fill="FDE9D9"/>
          </w:tcPr>
          <w:p w:rsidR="007B6730" w:rsidRPr="00D01A03" w:rsidRDefault="007B6730" w:rsidP="00D01A03">
            <w:pPr>
              <w:pStyle w:val="Heading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Altri incarichi avuti o in essere presso lo IUSVE  (coordinamento, ricerca, …)</w:t>
            </w:r>
          </w:p>
          <w:p w:rsidR="007B6730" w:rsidRPr="00D01A03" w:rsidRDefault="007B6730" w:rsidP="00D01A03">
            <w:pPr>
              <w:spacing w:after="0" w:line="240" w:lineRule="auto"/>
            </w:pPr>
          </w:p>
        </w:tc>
        <w:tc>
          <w:tcPr>
            <w:tcW w:w="6551" w:type="dxa"/>
            <w:shd w:val="clear" w:color="auto" w:fill="FDE9D9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730" w:rsidRPr="00D01A03" w:rsidTr="00D01A03">
        <w:tc>
          <w:tcPr>
            <w:tcW w:w="3227" w:type="dxa"/>
            <w:shd w:val="clear" w:color="auto" w:fill="FDE9D9"/>
          </w:tcPr>
          <w:p w:rsidR="007B6730" w:rsidRPr="00D01A03" w:rsidRDefault="007B6730" w:rsidP="00D01A03">
            <w:pPr>
              <w:pStyle w:val="Heading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Incarichi di insegnamento (e/o di ricerca) presso altre università e/o istituzioni di ricerca (indicare ultimi 5 anni)</w:t>
            </w:r>
          </w:p>
          <w:p w:rsidR="007B6730" w:rsidRPr="00D01A03" w:rsidRDefault="007B6730" w:rsidP="00D01A03">
            <w:pPr>
              <w:spacing w:after="0" w:line="240" w:lineRule="auto"/>
            </w:pPr>
          </w:p>
        </w:tc>
        <w:tc>
          <w:tcPr>
            <w:tcW w:w="6551" w:type="dxa"/>
            <w:shd w:val="clear" w:color="auto" w:fill="FDE9D9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Titolo insegnamento/ricerca</w:t>
            </w:r>
            <w:bookmarkStart w:id="0" w:name="_GoBack"/>
            <w:bookmarkEnd w:id="0"/>
            <w:r w:rsidRPr="00D01A0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Università: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Tipo di incarico (ordinario, associato, ricercatore, a contratto):</w:t>
            </w:r>
          </w:p>
        </w:tc>
      </w:tr>
      <w:tr w:rsidR="007B6730" w:rsidRPr="00D01A03" w:rsidTr="00D01A03">
        <w:tc>
          <w:tcPr>
            <w:tcW w:w="3227" w:type="dxa"/>
            <w:shd w:val="clear" w:color="auto" w:fill="FDE9D9"/>
          </w:tcPr>
          <w:p w:rsidR="007B6730" w:rsidRPr="00D01A03" w:rsidRDefault="007B6730" w:rsidP="00D01A03">
            <w:pPr>
              <w:pStyle w:val="Heading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Abilitazioni nazionali ed internazionali conseguite per l’insegnamento Universitario</w:t>
            </w:r>
          </w:p>
          <w:p w:rsidR="007B6730" w:rsidRPr="00D01A03" w:rsidRDefault="007B6730" w:rsidP="00D01A03">
            <w:pPr>
              <w:spacing w:after="0" w:line="240" w:lineRule="auto"/>
            </w:pPr>
          </w:p>
        </w:tc>
        <w:tc>
          <w:tcPr>
            <w:tcW w:w="6551" w:type="dxa"/>
            <w:shd w:val="clear" w:color="auto" w:fill="FDE9D9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730" w:rsidRPr="00D01A03" w:rsidTr="00D01A03">
        <w:tc>
          <w:tcPr>
            <w:tcW w:w="3227" w:type="dxa"/>
            <w:shd w:val="clear" w:color="auto" w:fill="D6E3BC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Ruoli e incarichi di tipo non accademico in ambito salesiano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730" w:rsidRPr="00D01A03" w:rsidTr="00D01A03">
        <w:tc>
          <w:tcPr>
            <w:tcW w:w="3227" w:type="dxa"/>
            <w:shd w:val="clear" w:color="auto" w:fill="D6E3BC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Altre esperienze significative in campo professionale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/>
          </w:tcPr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Psicoterapeuta e psicoanalista.</w:t>
            </w:r>
          </w:p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 1985 al 1996 psicologo/psicoterapeuta presso l’istituto “Costante Gris” di Mogliano Veneto.</w:t>
            </w:r>
          </w:p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 1995 al 2001 responsabile sede ABA (Associazione Anoressia Bulimia) di Mestre (VE).</w:t>
            </w:r>
          </w:p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 2001 ad oggi responsabile della sede ICAB (Istituto per la clinica dell’anoressia e Bulimia) di Mestre (VE).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Formatore e supervisore di equipe presso asl, fondazioni, comuni e privato sociale.</w:t>
            </w:r>
          </w:p>
        </w:tc>
      </w:tr>
      <w:tr w:rsidR="007B6730" w:rsidRPr="00D01A03" w:rsidTr="00D01A03">
        <w:tc>
          <w:tcPr>
            <w:tcW w:w="3227" w:type="dxa"/>
            <w:shd w:val="clear" w:color="auto" w:fill="D6E3BC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Partecipazione ad associazioni di tipo scientifico o professionale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/>
          </w:tcPr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Socio fondatore e docente ICLeS, Istituto per la Clinica dei Legami Sociali, istituto riconosciuto dal MIUR per la formazione di psicoterapeuti.</w:t>
            </w:r>
          </w:p>
          <w:p w:rsidR="007B6730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Membro fondatore del Forum Lacaniano in Italia (FLaI).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Membro dell’IF-EPFCL, Internazionale dei Forum della Scuola di Psicoanalisi del Campo Lacaniano.</w:t>
            </w:r>
          </w:p>
        </w:tc>
      </w:tr>
    </w:tbl>
    <w:p w:rsidR="007B6730" w:rsidRDefault="007B6730"/>
    <w:p w:rsidR="007B6730" w:rsidRPr="00A041FD" w:rsidRDefault="007B6730">
      <w:pPr>
        <w:rPr>
          <w:rFonts w:ascii="Times New Roman" w:hAnsi="Times New Roman"/>
          <w:i/>
        </w:rPr>
      </w:pPr>
      <w:r w:rsidRPr="00A041FD">
        <w:rPr>
          <w:rFonts w:ascii="Times New Roman" w:hAnsi="Times New Roman"/>
          <w:i/>
        </w:rPr>
        <w:t>Allegato: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6551"/>
      </w:tblGrid>
      <w:tr w:rsidR="007B6730" w:rsidRPr="00D01A03" w:rsidTr="00D01A03">
        <w:tc>
          <w:tcPr>
            <w:tcW w:w="3227" w:type="dxa"/>
          </w:tcPr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A03">
              <w:rPr>
                <w:rFonts w:ascii="Times New Roman" w:hAnsi="Times New Roman"/>
                <w:sz w:val="24"/>
                <w:szCs w:val="24"/>
              </w:rPr>
              <w:t>Elenco delle principali pubblicazioni</w:t>
            </w: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:rsidR="007B6730" w:rsidRPr="003B53F8" w:rsidRDefault="007B6730" w:rsidP="000E4110">
            <w:pPr>
              <w:jc w:val="both"/>
              <w:rPr>
                <w:sz w:val="24"/>
              </w:rPr>
            </w:pP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>In “Il lavoro dei clubs degli alcolisti in trattamento a Treviso e nel  Veneto “ AA.VV , Edito Zoppelli, 1988.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>In “Ripensare la psicosi” AA.VV. 1993, cooperativa editoriale “ Il Campo”, “Psicosi, cronicità, istituzione.”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 xml:space="preserve">A cura di Moreno Blascovich e Marina Zorzi,  per </w:t>
            </w:r>
            <w:smartTag w:uri="urn:schemas-microsoft-com:office:smarttags" w:element="PersonName">
              <w:smartTagPr>
                <w:attr w:name="ProductID" w:val="la “Editre"/>
              </w:smartTagPr>
              <w:r w:rsidRPr="003B53F8">
                <w:rPr>
                  <w:sz w:val="24"/>
                </w:rPr>
                <w:t>la “Editre</w:t>
              </w:r>
            </w:smartTag>
            <w:r w:rsidRPr="003B53F8">
              <w:rPr>
                <w:sz w:val="24"/>
              </w:rPr>
              <w:t xml:space="preserve"> edizioni”, “Handicap, istituzione, territorio”, 1989.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>A cura di Moreno Blascovich, per le edizioni ANFFAS, “ Maturità e senescenza del disabile psichico” 1990.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>In “Immagini e sguardi nell’esperienza psicoanalitica” AA.VV. , “Immagini e sguardi nell’esperienza psicoanalitica: un caso di psicosi”, Astrolabio.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>In “ABA news” , n.19, “Abuso e normalità”.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>In “La cura nei gruppi ABA: elementi di teoria e di clinica” AA.VV. , “Dal corpo immacolato al corpo devastato”, edito da Franco Angeli, 1997.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>In “I gruppi ABA: interruzioni e conclusioni della cura.” AA.VV. , “Cosa fa si che un lavoro gruppale includa la psicoanalisi”, edito da  Franco Angeli, 1998.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>In “ Trauma, abuso e perversione” AA.VV. , “Difficoltà incontrate nella relazione terapeutica con ragazze abusate”, edito da Franco Angeli, 2000.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>In “L’Ippogrifo “ AA.VV , “ Creatività e arte, ruolo e funzione della psicoanalisi nell’istituzione” Libreria al Segno Editrice, 2002.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 xml:space="preserve">In “ </w:t>
            </w:r>
            <w:smartTag w:uri="urn:schemas-microsoft-com:office:smarttags" w:element="PersonName">
              <w:smartTagPr>
                <w:attr w:name="ProductID" w:val="Notes Magico"/>
              </w:smartTagPr>
              <w:r w:rsidRPr="003B53F8">
                <w:rPr>
                  <w:sz w:val="24"/>
                </w:rPr>
                <w:t>Notes Magico</w:t>
              </w:r>
            </w:smartTag>
            <w:r w:rsidRPr="003B53F8">
              <w:rPr>
                <w:sz w:val="24"/>
              </w:rPr>
              <w:t xml:space="preserve">” rivista di psicoanalisi , 2003/3 , AA.VV , “ L’equipe e i suoi percorsi” , Editrice Clinamen 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>In “ Asclepio e il centauro” “ Il compito della psicoanalisi nell’epoca delle psicoterapie”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 xml:space="preserve">a cura di </w:t>
            </w:r>
            <w:smartTag w:uri="urn:schemas-microsoft-com:office:smarttags" w:element="PersonName">
              <w:smartTagPr>
                <w:attr w:name="ProductID" w:val="Ettore Perrella"/>
              </w:smartTagPr>
              <w:r w:rsidRPr="003B53F8">
                <w:rPr>
                  <w:sz w:val="24"/>
                </w:rPr>
                <w:t>Ettore Perrella</w:t>
              </w:r>
            </w:smartTag>
            <w:r w:rsidRPr="003B53F8">
              <w:rPr>
                <w:sz w:val="24"/>
              </w:rPr>
              <w:t>” ; “La psicoanalisi e il dispositivo gruppale nella cura delle anoressie e della psicosi”; Franco Angeli editore, 2005.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>In “Socchiudere il gruppo”, a cura di Bruno Vezzani,” Per una clinica dell’anoressia e bulimia. Dal sintomo come risposta alla domanda possibile”,Franco Angeli editore, 2005.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 xml:space="preserve">In “ </w:t>
            </w:r>
            <w:smartTag w:uri="urn:schemas-microsoft-com:office:smarttags" w:element="PersonName">
              <w:smartTagPr>
                <w:attr w:name="ProductID" w:val="Notes Magico"/>
              </w:smartTagPr>
              <w:r w:rsidRPr="003B53F8">
                <w:rPr>
                  <w:sz w:val="24"/>
                </w:rPr>
                <w:t>Notes Magico</w:t>
              </w:r>
            </w:smartTag>
            <w:r w:rsidRPr="003B53F8">
              <w:rPr>
                <w:sz w:val="24"/>
              </w:rPr>
              <w:t>” rivista di psicoanalisi, 2005/5, AAVV, “ La psicoanalisi e il dispositivo gruppale nella cura delle anoressie e della psicosi”, Editrice Clinamen.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>In “</w:t>
            </w:r>
            <w:smartTag w:uri="urn:schemas-microsoft-com:office:smarttags" w:element="PersonName">
              <w:smartTagPr>
                <w:attr w:name="ProductID" w:val="Notes Magico"/>
              </w:smartTagPr>
              <w:r w:rsidRPr="003B53F8">
                <w:rPr>
                  <w:sz w:val="24"/>
                </w:rPr>
                <w:t>Notes Magico</w:t>
              </w:r>
            </w:smartTag>
            <w:r w:rsidRPr="003B53F8">
              <w:rPr>
                <w:sz w:val="24"/>
              </w:rPr>
              <w:t>”,rivista di psicoanalisi, 2006/6, AAVV, “Il perturbante tra gioco e realtà nel dispositivo dello psicodramma analitico”, Editrice Clinamen.</w:t>
            </w:r>
          </w:p>
          <w:p w:rsidR="007B6730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 xml:space="preserve">In “ L’Ippogrifo”,AAVV, “La seduzione di un voce sovversiva e stonata”,scritto con </w:t>
            </w:r>
            <w:smartTag w:uri="urn:schemas-microsoft-com:office:smarttags" w:element="PersonName">
              <w:smartTagPr>
                <w:attr w:name="ProductID" w:val="Patrizia Gilli"/>
              </w:smartTagPr>
              <w:r w:rsidRPr="003B53F8">
                <w:rPr>
                  <w:sz w:val="24"/>
                </w:rPr>
                <w:t>Patrizia Gilli</w:t>
              </w:r>
            </w:smartTag>
            <w:r w:rsidRPr="003B53F8">
              <w:rPr>
                <w:sz w:val="24"/>
              </w:rPr>
              <w:t>, Editrice Libreria al Seg</w:t>
            </w:r>
            <w:r>
              <w:rPr>
                <w:sz w:val="24"/>
              </w:rPr>
              <w:t>no, Pordenone</w:t>
            </w:r>
          </w:p>
          <w:p w:rsidR="007B6730" w:rsidRDefault="007B6730" w:rsidP="000E4110">
            <w:pPr>
              <w:jc w:val="both"/>
              <w:rPr>
                <w:sz w:val="24"/>
              </w:rPr>
            </w:pPr>
            <w:r>
              <w:rPr>
                <w:sz w:val="24"/>
              </w:rPr>
              <w:t>“Le cure nell’attualità e l’attualità della psicoanalisi”, a cura di Patrizia  Gilli e Moreno Blascovich</w:t>
            </w:r>
          </w:p>
          <w:p w:rsidR="007B6730" w:rsidRDefault="007B6730" w:rsidP="000E4110">
            <w:pPr>
              <w:jc w:val="both"/>
              <w:rPr>
                <w:sz w:val="24"/>
              </w:rPr>
            </w:pPr>
            <w:r>
              <w:rPr>
                <w:sz w:val="24"/>
              </w:rPr>
              <w:t>Editrice Libreria al Segno, 2013.</w:t>
            </w:r>
          </w:p>
          <w:p w:rsidR="007B6730" w:rsidRDefault="007B6730" w:rsidP="000E4110">
            <w:pPr>
              <w:jc w:val="both"/>
              <w:rPr>
                <w:sz w:val="24"/>
              </w:rPr>
            </w:pPr>
            <w:r>
              <w:rPr>
                <w:sz w:val="24"/>
              </w:rPr>
              <w:t>“Lo psicodramma analitico, strumento di cura e di formazione”, a cura di Moreno Blascovich, Annalisa Bucciol e Kety Ceolin. Editrice Libreria al Segno, 2014</w:t>
            </w:r>
          </w:p>
          <w:p w:rsidR="007B6730" w:rsidRDefault="007B6730" w:rsidP="000E4110">
            <w:pPr>
              <w:jc w:val="both"/>
              <w:rPr>
                <w:sz w:val="24"/>
              </w:rPr>
            </w:pPr>
            <w:r>
              <w:rPr>
                <w:sz w:val="24"/>
              </w:rPr>
              <w:t>“Desiderio di ignoranza” in “Accostarsi a Terapia del Desiderio di Martha C. Nussbaum” a cura di Vincenzo Salerno, Libreriauniversitaria.it edizioni, Limena Padova, 2018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>
              <w:rPr>
                <w:sz w:val="24"/>
              </w:rPr>
              <w:t>“Affetti ed educazine” in “L’università come comunità di apprendimento” a cura di Beatrice Saltarelli,, Libreriauniversitaria.it edizioni,Limena, Padova, 2019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  <w:r w:rsidRPr="003B53F8">
              <w:rPr>
                <w:sz w:val="24"/>
              </w:rPr>
              <w:t xml:space="preserve"> </w:t>
            </w: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</w:p>
          <w:p w:rsidR="007B6730" w:rsidRPr="003B53F8" w:rsidRDefault="007B6730" w:rsidP="000E4110">
            <w:pPr>
              <w:jc w:val="both"/>
              <w:rPr>
                <w:sz w:val="24"/>
              </w:rPr>
            </w:pPr>
          </w:p>
          <w:p w:rsidR="007B6730" w:rsidRPr="00D01A03" w:rsidRDefault="007B6730" w:rsidP="00D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6730" w:rsidRPr="008C7A8B" w:rsidRDefault="007B6730">
      <w:pPr>
        <w:rPr>
          <w:rFonts w:ascii="Times New Roman" w:hAnsi="Times New Roman"/>
          <w:sz w:val="24"/>
          <w:szCs w:val="24"/>
        </w:rPr>
      </w:pPr>
    </w:p>
    <w:p w:rsidR="007B6730" w:rsidRDefault="007B6730"/>
    <w:sectPr w:rsidR="007B6730" w:rsidSect="00AD0583">
      <w:pgSz w:w="11906" w:h="16838"/>
      <w:pgMar w:top="54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A8B"/>
    <w:rsid w:val="00013EE2"/>
    <w:rsid w:val="00056B3D"/>
    <w:rsid w:val="000E4110"/>
    <w:rsid w:val="000F2A19"/>
    <w:rsid w:val="0016010B"/>
    <w:rsid w:val="001616F6"/>
    <w:rsid w:val="001D6052"/>
    <w:rsid w:val="002A1065"/>
    <w:rsid w:val="002F0979"/>
    <w:rsid w:val="00323BE1"/>
    <w:rsid w:val="00325163"/>
    <w:rsid w:val="003B53F8"/>
    <w:rsid w:val="004710F0"/>
    <w:rsid w:val="004E6ED8"/>
    <w:rsid w:val="00550FB0"/>
    <w:rsid w:val="005652CC"/>
    <w:rsid w:val="005A044C"/>
    <w:rsid w:val="005A583F"/>
    <w:rsid w:val="0070650D"/>
    <w:rsid w:val="007B6730"/>
    <w:rsid w:val="008A0570"/>
    <w:rsid w:val="008C7A8B"/>
    <w:rsid w:val="009C7A0C"/>
    <w:rsid w:val="009F3AE8"/>
    <w:rsid w:val="00A041FD"/>
    <w:rsid w:val="00A11444"/>
    <w:rsid w:val="00A1475E"/>
    <w:rsid w:val="00A42F56"/>
    <w:rsid w:val="00AC172C"/>
    <w:rsid w:val="00AD0583"/>
    <w:rsid w:val="00AF7440"/>
    <w:rsid w:val="00B07EFE"/>
    <w:rsid w:val="00B76F0C"/>
    <w:rsid w:val="00BD1681"/>
    <w:rsid w:val="00C3626A"/>
    <w:rsid w:val="00CE0FCC"/>
    <w:rsid w:val="00D01A03"/>
    <w:rsid w:val="00D10F73"/>
    <w:rsid w:val="00D20363"/>
    <w:rsid w:val="00ED00BB"/>
    <w:rsid w:val="00F737E9"/>
    <w:rsid w:val="00FA6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83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7A8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fr-FR" w:eastAsia="it-IT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C7A8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C7A8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7A8B"/>
    <w:rPr>
      <w:rFonts w:ascii="Times New Roman" w:hAnsi="Times New Roman" w:cs="Times New Roman"/>
      <w:b/>
      <w:sz w:val="20"/>
      <w:szCs w:val="20"/>
      <w:lang w:val="fr-FR" w:eastAsia="it-IT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C7A8B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C7A8B"/>
    <w:rPr>
      <w:rFonts w:ascii="Cambria" w:hAnsi="Cambria" w:cs="Times New Roman"/>
      <w:color w:val="243F60"/>
    </w:rPr>
  </w:style>
  <w:style w:type="table" w:styleId="TableGrid">
    <w:name w:val="Table Grid"/>
    <w:basedOn w:val="TableNormal"/>
    <w:uiPriority w:val="99"/>
    <w:rsid w:val="008C7A8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4</Pages>
  <Words>863</Words>
  <Characters>4925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per il curriculum vitae accademico</dc:title>
  <dc:subject/>
  <dc:creator>Arduino Salatin</dc:creator>
  <cp:keywords/>
  <dc:description/>
  <cp:lastModifiedBy>Moreno</cp:lastModifiedBy>
  <cp:revision>11</cp:revision>
  <dcterms:created xsi:type="dcterms:W3CDTF">2020-10-01T08:39:00Z</dcterms:created>
  <dcterms:modified xsi:type="dcterms:W3CDTF">2020-10-02T14:05:00Z</dcterms:modified>
</cp:coreProperties>
</file>